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57fa14561477c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 w:hAnsi="Arial" w:eastAsia="Arial" w:cs="Arial"/>
          <w:b w:val="true"/>
          <w:i w:val="false"/>
          <w:color w:val="000000"/>
          <w:sz w:val="22"/>
          <w:lang w:val="de-DE" w:eastAsia="de-DE" w:bidi="de-DE"/>
        </w:rPr>
      </w:pP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1</w:t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2"/>
          <w:lang w:val="de-DE" w:eastAsia="de-DE" w:bidi="de-DE"/>
        </w:rPr>
        <w:t xml:space="preserve">LIKE-ICE Science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LIKE-ICE Science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Ludwig-Erhard-Str. 5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84069 Schierling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Telefon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(0)9451 949837-0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r>
        <w:rPr>
          <w:rFonts w:ascii="Arial" w:hAnsi="Arial"/>
          <w:i w:val="false"/>
          <w:sz w:val="20"/>
          <w:lang w:val="de-DE" w:eastAsia="de-DE" w:bidi="de-DE"/>
        </w:rPr>
        <w:t xml:space="preserve">Fax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+49 (0)9451 949837-9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dd541bbb5ba04b76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jw@like-ice.com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dd541bbb5ba04b76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jw@like-ice.com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  <w:hyperlink xmlns:r="http://schemas.openxmlformats.org/officeDocument/2006/relationships" r:id="R8564df5a17394f54">
        <w:r>
          <w:rPr>
            <w:rFonts w:ascii="Arial" w:hAnsi="Arial"/>
            <w:i w:val="false"/>
            <w:color w:val="0000FF"/>
            <w:sz w:val="20"/>
            <w:u w:val="single"/>
            <w:lang w:val="de-DE" w:eastAsia="de-DE" w:bidi="de-DE"/>
          </w:rPr>
          <w:t xml:space="preserve">https://www.like-ice.com</w:t>
        </w:r>
      </w:hyperlink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Erstellung einer synthetischen Eisfläche auf Polymerbasis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Erstellung einer synthetischen Eisfläche auf Polymerbasis 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 den Ausmaßen von ca. 00m x 00m = 000m² 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Gemäß folgenden Bestimmungen.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siehe auch beiliegender Plan. </w:t>
      </w:r>
    </w:p>
    <w:p>
      <w:pPr>
        <w:keepNext w:val="true"/>
        <w:keepLines w:val="true"/>
        <w:spacing w:before="0" w:after="0" w:line="240"/>
        <w:ind w:left="1040" w:right="4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Besondere Bestimmungen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erforderliche Spezifikationen des verwendeten Materials: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numPr>
          <w:ilvl w:val="0"/>
          <w:numId w:val="1"/>
        </w:numPr>
        <w:spacing w:before="10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Kunststoffplatten müssen selbstschmierend und durchgängig gesättigt sein (mit integrierten Schmierstoffen). Die Funktionalität darf nicht nur auf der Oberfläche sein, sondern muss durchgehend durch das Material gewährleistet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Es dürfen keine zusätzlichen Gleitmittel, Pflegemittel, etc. notwendig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Platten müssen chemisch und physikalisch so verarbeitet sein, dass kein ausdiffundieren der Inhaltsstoffe (Öle, etc.) möglich ist. (trockene Oberfläche)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die gleiche Eislaufhaltung wie auf echtem Eis ermöglichen.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Platten müssen mit einem Verbindungssystem ausgestattet sein, welches speziell auf das Basismaterial PE abgestimmt ist und bestmöglich keine zusätzlichen Verbindungsmittel benötigt (Bolzen, Schrauben, Stifte, H-,C- , o. ähnliche Profilschienen). Das Verbindungssystem muss eine einfache Handhabung beim Auf- und Abbau ebenso gewährleisten, wie ein Herausnehmen einzelner Platten aus dem Flächeninneren, ohne die Bahn abbauen zu müssen. D. h. auch, das Verbindungssystem ist für den vielfachen Auf- und Abbau, geeignet.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Belag muss für den Stocksport geeignet sein (Sommer- und Winterlaufsohlen).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einzelnen Platten müssen von einer Person getragen werden können.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Funktionalität muss mind. zwischen -60 und +60°C gewährleistet sein.</w:t>
      </w:r>
    </w:p>
    <w:p>
      <w:pPr>
        <w:keepNext w:val="true"/>
        <w:keepLines w:val="true"/>
        <w:numPr>
          <w:ilvl w:val="0"/>
          <w:numId w:val="1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Brandschutzklasse B2</w:t>
      </w:r>
    </w:p>
    <w:p>
      <w:pPr>
        <w:keepNext w:val="true"/>
        <w:keepLines w:val="true"/>
        <w:numPr>
          <w:ilvl w:val="0"/>
          <w:numId w:val="1"/>
        </w:numPr>
        <w:spacing w:before="0" w:after="10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Garantie auf die Platten (auf die Funktionalität):</w:t>
      </w:r>
    </w:p>
    <w:p>
      <w:pPr>
        <w:keepNext w:val="true"/>
        <w:keepLines w:val="true"/>
        <w:spacing w:before="0" w:after="0" w:line="240"/>
        <w:ind w:left="230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Mindestens 5 Jahre Outdoornutzung</w:t>
      </w:r>
    </w:p>
    <w:p>
      <w:pPr>
        <w:keepNext w:val="true"/>
        <w:keepLines w:val="true"/>
        <w:spacing w:before="0" w:after="0" w:line="240"/>
        <w:ind w:left="230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Mindestens 10 Jahre Indoornutzung</w:t>
      </w:r>
    </w:p>
    <w:p>
      <w:pPr>
        <w:keepNext w:val="true"/>
        <w:keepLines w:val="true"/>
        <w:numPr>
          <w:ilvl w:val="0"/>
          <w:numId w:val="2"/>
        </w:numPr>
        <w:spacing w:before="10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Nutzungsdauer ist muss mindestens mit 10 Jahre betragen.</w:t>
      </w:r>
    </w:p>
    <w:p>
      <w:pPr>
        <w:keepNext w:val="true"/>
        <w:keepLines w:val="true"/>
        <w:numPr>
          <w:ilvl w:val="0"/>
          <w:numId w:val="2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Fläche muss einen ausreichenden UV-Schutz enthalten</w:t>
      </w:r>
    </w:p>
    <w:p>
      <w:pPr>
        <w:keepNext w:val="true"/>
        <w:keepLines w:val="true"/>
        <w:numPr>
          <w:ilvl w:val="0"/>
          <w:numId w:val="2"/>
        </w:numPr>
        <w:spacing w:before="0" w:after="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zu 100 % recyclebar sein</w:t>
      </w:r>
    </w:p>
    <w:p>
      <w:pPr>
        <w:keepNext w:val="true"/>
        <w:keepLines w:val="true"/>
        <w:numPr>
          <w:ilvl w:val="0"/>
          <w:numId w:val="2"/>
        </w:numPr>
        <w:spacing w:before="0" w:after="100" w:line="240"/>
        <w:ind w:left="1040" w:right="4000" w:hanging="357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Das Material muss integrierte UV-Stabilisatoren enthalten.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Bodenbelag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Untergrund Voraussetzungen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Der Unterbau ist kein Bestandteil der Ausschreibung.Angebot auf Basis eines planen, tragfähigen und waagrechten Untergrundes.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1.2.1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Verlegung von Kunststoffplatten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schwimmende Verlegung von selbstschmierenden Kunststoffplatten.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Basierend auf selbstschmierender Kunststoffmischung (PE) mit Additiven, gemäß obiger Beschreibung.und untenstehender Bieterlücken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Generelle Informationen: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-Farbe: PE-Natur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-Dimension (L x B) 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-Plattenstärke in mm (zwischen 18 unnd 20mm):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-Produktionsland: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-Produktionsart (gepresst, extrudiert, gespritzt):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-Spez. für den Eislaufsport entwickelt u. produziert: ja / nein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-Gleitstoffe im Plattenmaterial (selbstschmierend): ja / nein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-Haftreibungszahl(nach ASTM D 1894 (06/2006):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-Gleitreibungszahl(nach ASTM D 1894 (06/2006):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-Gleitfähigkeit in Bezug auf Eis in %: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%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-Gleitmittel, Reinigungsmittel, Schutzemulsionen,etc notwendig?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ja / nein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-Wenn ja, welche? (Bezeichnung und chem. Name)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-Durchschnittliche Abriebsmenge bei üblicher Verwendung pro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Nutzungstag in liter/m² oder kg/ m²(bitte auswälen):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Verbindungssystem: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-Verbindungsart (Puzzle, Profil, Nut-Feder, etc):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-Zusätzliche Verbindungsmittel notwendig? (Bolzen, Schrauben, 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Schienen, etc.):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-Einzelne Verbindungspunkte oder Gesmatverbindung pro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Platte(Beschreibung, Anzahl und Form):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-Verbindungsline in m pro 100m²(Form-, Kraftschluss 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bei Zugkräften):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-Kontaktlinie in m pro 100m²(nur Kontakt ohne Kraft):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-Dauerhafte Passform, auch bei ständigem Auf- und Abbau: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 ja / nein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-Mindestens benötigte Personen für Auf- und Abbau: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-Auf-/Abbauzeit für die geplante Fläche(obige Anz.):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h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Weitere Punkte: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Die Kunststoffplatten sind für den Eissport geeignet. Insbesondere für das Eislaufen lernen, das Eishockey-Training und den Stocksport? (Nachweis über Referenzen, Kooperationen und/oder Zulassungen).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Bitte noch folgende Informationen beilegen: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-Produktdatenblatt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-Produktmuster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-evtl. vorhandene Zertifikate oder Gutachten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Bande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Montage einer Aluminium-Bande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Montage einer eishockeytauglichen Bande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mit einer Mindesthöhe von 100 cm und Verblendung (weiß oder transparent - bitte auswählen) .UV-geschützt mit ::::. Türen und Eckelementen (Radius oder 90° - bitte auswählen).</w:t>
      </w:r>
      <w:r>
        <w:rPr>
          <w:rFonts w:ascii="Arial" w:hAnsi="Arial"/>
          <w:i w:val="false"/>
          <w:color w:val="FF0000"/>
          <w:sz w:val="20"/>
          <w:lang w:val="de-DE" w:eastAsia="de-DE" w:bidi="de-DE"/>
        </w:rPr>
        <w:t xml:space="preserve"> 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Bandenfüße in Kombination mit Bandenelementen höhenverstellbar.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Material der Bande und der Füße: Aluminium und Verblendungsmaterial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PE / PC /PP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Verblendungsmaterial: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Verblendungsmaterial dicke: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 mm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Rahmenstärke: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1.3.2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Lieferung und Montage eines Eishockey Schutznetz-Set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und Montage eines eishockeytauglichen Schutznetz-Set, Maschenweite 35 mm, verknotet und brandhemmend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-Farbe: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weiß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-Seilstärke in mm: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4mm 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-Alle 2 m eine Stützstange, 2 m Höhe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-Material der Stütze: 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Aluminium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2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Zubehör</w:t>
      </w:r>
    </w:p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1.4.1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Schlittschuhschleifmaschine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Einfach zu bedienende Schlittschuhschleifmaschine.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1.4.2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Bodenreinigungsmachine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Scheuer-/Saugmaschine bevorzugt mit Walzen (alternaiv Teller)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Stk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1.4.3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Schlittschuhe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Verleihschlittschuhe mit Kunststoffschale und aufgedrukten Größen. Einfache Schnell-Verschlüsse.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Keine Eiskunstlaufzacken.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-Marke/Hersteller: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-Modell: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Paar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1.4.4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Gummimatten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Schlittschuhfeste Gummimatten mit Dicke &gt;10mm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Farbe schwarz.</w:t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-Maße: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(cm x cm)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-Marke: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-Dicke: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 (in mm)</w:t>
      </w:r>
      <w:r>
        <w:rPr>
          <w:rFonts w:ascii="Arial" w:hAnsi="Arial"/>
          <w:i w:val="false"/>
          <w:sz w:val="20"/>
          <w:lang w:val="de-DE" w:eastAsia="de-DE" w:bidi="de-DE"/>
        </w:rPr>
        <w:br w:type="textWrapping"/>
      </w:r>
    </w:p>
    <w:p>
      <w:pPr>
        <w:keepNext w:val="true"/>
        <w:keepLines w:val="true"/>
        <w:spacing w:before="0" w:after="0" w:line="240"/>
        <w:ind w:left="1040" w:right="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-Verbindungstechnik: 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'.........'</w:t>
      </w:r>
      <w:r>
        <w:rPr>
          <w:rFonts w:ascii="Arial" w:hAnsi="Arial"/>
          <w:i w:val="false"/>
          <w:sz w:val="20"/>
          <w:lang w:val="de-DE" w:eastAsia="de-DE" w:bidi="de-DE"/>
        </w:rPr>
        <w:t xml:space="preserve"> 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 xml:space="preserve">m²</w:t>
            </w: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3"/>
        <w:rPr>
          <w:rFonts w:ascii="Arial" w:hAnsi="Arial" w:eastAsia="Arial" w:cs="Arial"/>
          <w:b w:val="tru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1.4.5</w:t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ab/>
      </w:r>
      <w:r>
        <w:rPr>
          <w:rFonts w:ascii="Arial" w:hAnsi="Arial"/>
          <w:b w:val="true"/>
          <w:i w:val="false"/>
          <w:sz w:val="20"/>
          <w:lang w:val="de-DE" w:eastAsia="de-DE" w:bidi="de-DE"/>
        </w:rPr>
        <w:t xml:space="preserve">Lattlgstell</w:t>
      </w:r>
    </w:p>
    <w:p>
      <w:pPr>
        <w:keepNext w:val="true"/>
        <w:keepLines w:val="true"/>
        <w:spacing w:before="0" w:after="0" w:line="240"/>
        <w:ind w:left="1040" w:right="4000" w:firstLine="0"/>
        <w:jc w:val="left"/>
        <w:rPr>
          <w:rFonts w:ascii="Arial" w:hAnsi="Arial" w:eastAsia="Arial" w:cs="Arial"/>
          <w:b w:val="false"/>
          <w:i w:val="false"/>
          <w:color w:val="000000"/>
          <w:sz w:val="20"/>
          <w:lang w:val="de-DE" w:eastAsia="de-DE" w:bidi="de-DE"/>
        </w:rPr>
      </w:pPr>
      <w:r>
        <w:rPr>
          <w:rFonts w:ascii="Arial" w:hAnsi="Arial"/>
          <w:i w:val="false"/>
          <w:sz w:val="20"/>
          <w:lang w:val="de-DE" w:eastAsia="de-DE" w:bidi="de-DE"/>
        </w:rPr>
        <w:t xml:space="preserve">Lieferung eines Lattlgstelles zum Eisstockschießen.</w:t>
      </w:r>
    </w:p>
    <w:tbl>
      <w:tblPr>
        <w:tblW w:w="6700" w:type="dxa"/>
        <w:jc w:val="right"/>
        <w:tblInd w:w="0" w:type="dxa"/>
        <w:tblBorders/>
        <w:tblLayout w:type="fixed"/>
      </w:tblPr>
      <w:tblGrid>
        <w:gridCol w:w="1700"/>
        <w:gridCol w:w="600"/>
        <w:gridCol w:w="1700"/>
        <w:gridCol w:w="600"/>
        <w:gridCol w:w="1700"/>
        <w:gridCol w:w="600"/>
      </w:tblGrid>
      <w:tr>
        <w:tc>
          <w:tcPr>
            <w:gridSpan w:val="1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880"/>
              <w:gridCol w:w="72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Menge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EP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  <w:tc>
          <w:tcPr>
            <w:gridSpan w:val="1"/>
            <w:vAlign w:val="center"/>
          </w:tcPr>
          <w:tbl>
            <w:tblPr>
              <w:tblW w:w="1700" w:type="dxa"/>
              <w:jc w:val="left"/>
              <w:tblInd w:w="0" w:type="dxa"/>
              <w:tblBorders/>
              <w:tblLayout w:type="fixed"/>
            </w:tblPr>
            <w:tblGrid>
              <w:gridCol w:w="600"/>
              <w:gridCol w:w="1100"/>
            </w:tblGrid>
            <w:tr>
              <w:tc>
                <w:tcPr/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tru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 xml:space="preserve">GP</w:t>
                  </w:r>
                  <w:r>
                    <w:rPr>
                      <w:rFonts w:ascii="Arial" w:hAnsi="Arial"/>
                      <w:b w:val="true"/>
                      <w:i w:val="false"/>
                      <w:sz w:val="18"/>
                      <w:lang w:val="de-DE" w:eastAsia="de-DE" w:bidi="de-DE"/>
                    </w:rPr>
                    <w:t>:</w:t>
                  </w:r>
                </w:p>
              </w:tc>
              <w:tc>
                <w:tcPr>
                  <w:tcBorders>
                    <w:bottom w:val="dotted" w:color="000000" w:sz="13" w:space="0"/>
                  </w:tcBorders>
                </w:tcPr>
                <w:p>
                  <w:pPr>
                    <w:keepNext w:val="true"/>
                    <w:keepLines w:val="true"/>
                    <w:spacing w:before="0" w:after="0" w:line="240"/>
                    <w:ind w:left="0" w:right="0" w:firstLine="0"/>
                    <w:jc w:val="left"/>
                    <w:rPr>
                      <w:rFonts w:ascii="Arial" w:hAnsi="Arial" w:eastAsia="Arial" w:cs="Arial"/>
                      <w:b w:val="false"/>
                      <w:i w:val="false"/>
                      <w:color w:val="000000"/>
                      <w:sz w:val="18"/>
                      <w:lang w:val="de-DE" w:eastAsia="de-DE" w:bidi="de-DE"/>
                    </w:rPr>
                  </w:pPr>
                </w:p>
              </w:tc>
            </w:tr>
          </w:tbl>
          <w:p>
            <w:pPr>
              <w:spacing w:line="240"/>
            </w:pPr>
          </w:p>
        </w:tc>
        <w:tc>
          <w:tcPr>
            <w:gridSpan w:val="1"/>
            <w:vAlign w:val="center"/>
          </w:tcPr>
          <w:p>
            <w:pPr>
              <w:keepNext w:val="true"/>
              <w:keepLines w:val="true"/>
              <w:spacing w:before="0" w:after="0" w:line="240"/>
              <w:ind w:left="0" w:right="0" w:firstLine="0"/>
              <w:jc w:val="left"/>
              <w:rPr>
                <w:rFonts w:ascii="Arial" w:hAnsi="Arial" w:eastAsia="Arial" w:cs="Arial"/>
                <w:b w:val="false"/>
                <w:i w:val="false"/>
                <w:color w:val="000000"/>
                <w:sz w:val="18"/>
                <w:lang w:val="de-DE" w:eastAsia="de-DE" w:bidi="de-DE"/>
              </w:rPr>
            </w:pPr>
          </w:p>
        </w:tc>
      </w:tr>
    </w:tbl>
    <w:sectPr>
      <w:headerReference xmlns:r="http://schemas.openxmlformats.org/officeDocument/2006/relationships" w:type="default" r:id="R35b516ef3f2a4649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hyperlink xmlns:r="http://schemas.openxmlformats.org/officeDocument/2006/relationships" r:id="R8d30e19acfda440c">
            <w:r>
              <w:rPr>
                <w:rFonts w:ascii="Arial" w:hAnsi="Arial"/>
                <w:i w:val="false"/>
                <w:sz w:val="18"/>
                <w:lang w:val="de-DE" w:eastAsia="de-DE" w:bidi="de-DE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- </w:t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pgNum/>
          </w: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 w:hAnsi="Arial" w:eastAsia="Arial" w:cs="Arial"/>
              <w:b w:val="false"/>
              <w:i w:val="false"/>
              <w:color w:val="000000"/>
              <w:sz w:val="18"/>
              <w:lang w:val="de-DE" w:eastAsia="de-DE" w:bidi="de-DE"/>
            </w:rPr>
          </w:pPr>
          <w:r>
            <w:rPr>
              <w:rFonts w:ascii="Arial" w:hAnsi="Arial"/>
              <w:i w:val="false"/>
              <w:sz w:val="18"/>
              <w:lang w:val="de-DE" w:eastAsia="de-DE" w:bidi="de-DE"/>
            </w:rPr>
            <w:t xml:space="preserve">14.07.2020</w:t>
          </w:r>
        </w:p>
      </w:tc>
    </w:tr>
  </w:tbl>
</w:hdr>
</file>

<file path=word/numbering.xml><?xml version="1.0" encoding="utf-8"?>
<w:numbering xmlns:w="http://schemas.openxmlformats.org/wordprocessingml/2006/main">
  <w:abstractNum w:abstractNumId="1">
    <w:multiLevelType w:val="singleLevel"/>
    <w:lvl w:ilvl="0">
      <w:start w:val="1"/>
      <w:numFmt w:val="bullet"/>
      <w:suff w:val="tab"/>
      <w:lvlText w:val="·"/>
      <w:lvlJc w:val="left"/>
      <w:pPr>
        <w:tabs>
          <w:tab w:val="num" w:pos="0"/>
        </w:tabs>
        <w:ind w:hanging="357"/>
      </w:pPr>
      <w:rPr>
        <w:rFonts w:hint="default" w:ascii="Symbol" w:hAnsi="Symbol" w:cs="Symbol"/>
        <w:b w:val="false"/>
        <w:i w:val="false"/>
        <w:strike w:val="false"/>
        <w:position w:val="0"/>
        <w:sz w:val="20"/>
      </w:rPr>
    </w:lvl>
  </w:abstractNum>
  <w:abstractNum w:abstractNumId="2">
    <w:multiLevelType w:val="singleLevel"/>
    <w:lvl w:ilvl="0">
      <w:start w:val="1"/>
      <w:numFmt w:val="bullet"/>
      <w:suff w:val="tab"/>
      <w:lvlText w:val="·"/>
      <w:lvlJc w:val="left"/>
      <w:pPr>
        <w:tabs>
          <w:tab w:val="num" w:pos="0"/>
        </w:tabs>
        <w:ind w:hanging="357"/>
      </w:pPr>
      <w:rPr>
        <w:rFonts w:hint="default" w:ascii="Symbol" w:hAnsi="Symbol" w:cs="Symbol"/>
        <w:b w:val="false"/>
        <w:i w:val="false"/>
        <w:strike w:val="false"/>
        <w:position w:val="0"/>
        <w:sz w:val="20"/>
      </w:rPr>
    </w:lvl>
  </w:abstractNum>
  <w:num w:numId="1">
    <w:abstractNumId w:val="1"/>
  </w:num>
  <w:num w:numId="2">
    <w:abstractNumId w:val="2"/>
  </w:num>
  <w:num w:numId="2">
    <w:abstractNumId w:val="1"/>
  </w:num>
  <w:num w:numId="3">
    <w:abstractNumId w:val="2"/>
  </w:num>
</w:numbering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w@like-ice.com" TargetMode="External" Id="Rdd541bbb5ba04b76" /><Relationship Type="http://schemas.openxmlformats.org/officeDocument/2006/relationships/hyperlink" Target="https://www.like-ice.com" TargetMode="External" Id="R8564df5a17394f54" /><Relationship Type="http://schemas.openxmlformats.org/officeDocument/2006/relationships/numbering" Target="/word/numbering.xml" Id="Rbd4757a8c98b473b" /><Relationship Type="http://schemas.openxmlformats.org/officeDocument/2006/relationships/header" Target="/word/header.xml" Id="R35b516ef3f2a4649" /><Relationship Type="http://schemas.openxmlformats.org/officeDocument/2006/relationships/styles" Target="/word/styles.xml" Id="R47bf508ec5a948c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8d30e19acfda440c" /></Relationships>
</file>